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50" w:rsidRDefault="002D01B9">
      <w:pPr>
        <w:spacing w:line="594" w:lineRule="exact"/>
        <w:jc w:val="center"/>
        <w:rPr>
          <w:rFonts w:ascii="方正黑体简体" w:eastAsia="方正黑体简体"/>
          <w:b/>
          <w:sz w:val="40"/>
          <w:szCs w:val="36"/>
        </w:rPr>
      </w:pPr>
      <w:r>
        <w:rPr>
          <w:rFonts w:ascii="方正黑体简体" w:eastAsia="方正黑体简体" w:hint="eastAsia"/>
          <w:b/>
          <w:sz w:val="40"/>
          <w:szCs w:val="36"/>
        </w:rPr>
        <w:t>中国国家标准化管理委员会和法国国家标准化机构首批中法互认标准清单</w:t>
      </w:r>
    </w:p>
    <w:p w:rsidR="003B6650" w:rsidRDefault="002D01B9">
      <w:pPr>
        <w:spacing w:line="594" w:lineRule="exact"/>
        <w:jc w:val="left"/>
        <w:rPr>
          <w:rFonts w:ascii="方正黑体简体" w:eastAsia="方正黑体简体"/>
          <w:b/>
          <w:sz w:val="32"/>
          <w:szCs w:val="32"/>
        </w:rPr>
      </w:pPr>
      <w:r>
        <w:rPr>
          <w:rFonts w:ascii="方正黑体简体" w:eastAsia="方正黑体简体"/>
          <w:b/>
          <w:sz w:val="40"/>
          <w:szCs w:val="36"/>
        </w:rPr>
        <w:br/>
      </w:r>
      <w:r>
        <w:rPr>
          <w:rFonts w:ascii="方正黑体简体" w:eastAsia="方正黑体简体" w:hint="eastAsia"/>
          <w:b/>
          <w:sz w:val="32"/>
          <w:szCs w:val="32"/>
        </w:rPr>
        <w:t>1.互认标准清单</w:t>
      </w:r>
    </w:p>
    <w:p w:rsidR="003B6650" w:rsidRDefault="003B6650">
      <w:pPr>
        <w:spacing w:line="500" w:lineRule="exact"/>
        <w:rPr>
          <w:rFonts w:ascii="Arial Unicode MS" w:eastAsia="Arial Unicode MS" w:hAnsi="Arial Unicode MS" w:cs="Arial Unicode MS"/>
          <w:color w:val="242424"/>
          <w:sz w:val="32"/>
          <w:szCs w:val="32"/>
        </w:rPr>
      </w:pPr>
    </w:p>
    <w:tbl>
      <w:tblPr>
        <w:tblW w:w="147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1528"/>
        <w:gridCol w:w="1342"/>
        <w:gridCol w:w="3166"/>
        <w:gridCol w:w="1162"/>
        <w:gridCol w:w="4031"/>
        <w:gridCol w:w="2666"/>
      </w:tblGrid>
      <w:tr w:rsidR="003B6650">
        <w:trPr>
          <w:trHeight w:val="2275"/>
        </w:trPr>
        <w:tc>
          <w:tcPr>
            <w:tcW w:w="865" w:type="dxa"/>
            <w:shd w:val="clear" w:color="000000" w:fill="DBE5F1"/>
            <w:vAlign w:val="center"/>
          </w:tcPr>
          <w:p w:rsidR="003B6650" w:rsidRDefault="002D01B9">
            <w:pPr>
              <w:widowControl/>
              <w:jc w:val="center"/>
              <w:rPr>
                <w:rFonts w:ascii="方正仿宋简体" w:eastAsia="方正仿宋简体" w:hAnsi="宋体" w:cs="宋体"/>
                <w:b/>
                <w:color w:val="000000"/>
                <w:kern w:val="0"/>
                <w:sz w:val="16"/>
                <w:szCs w:val="16"/>
              </w:rPr>
            </w:pPr>
            <w:r>
              <w:rPr>
                <w:rFonts w:ascii="方正仿宋简体" w:eastAsia="方正仿宋简体" w:hAnsi="宋体" w:cs="宋体" w:hint="eastAsia"/>
                <w:b/>
                <w:color w:val="000000"/>
                <w:kern w:val="0"/>
                <w:sz w:val="16"/>
                <w:szCs w:val="16"/>
              </w:rPr>
              <w:t>编号</w:t>
            </w:r>
          </w:p>
          <w:p w:rsidR="003B6650" w:rsidRDefault="002D01B9">
            <w:pPr>
              <w:jc w:val="center"/>
              <w:rPr>
                <w:rFonts w:ascii="方正仿宋简体" w:eastAsia="方正仿宋简体" w:hAnsi="宋体" w:cs="宋体"/>
                <w:b/>
                <w:color w:val="000000"/>
                <w:kern w:val="0"/>
                <w:sz w:val="16"/>
                <w:szCs w:val="16"/>
              </w:rPr>
            </w:pPr>
            <w:r>
              <w:rPr>
                <w:rFonts w:ascii="方正仿宋简体" w:eastAsia="方正仿宋简体" w:hAnsi="宋体" w:cs="宋体" w:hint="eastAsia"/>
                <w:color w:val="000000"/>
                <w:kern w:val="0"/>
                <w:sz w:val="16"/>
                <w:szCs w:val="16"/>
              </w:rPr>
              <w:t>No.</w:t>
            </w:r>
          </w:p>
        </w:tc>
        <w:tc>
          <w:tcPr>
            <w:tcW w:w="1528"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等同采用ISO/IEC标准号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b/>
                <w:bCs/>
                <w:kern w:val="0"/>
                <w:sz w:val="16"/>
                <w:szCs w:val="16"/>
                <w:lang w:val="es-ES"/>
              </w:rPr>
              <w:t>ISO/IEC or EN No.</w:t>
            </w:r>
          </w:p>
        </w:tc>
        <w:tc>
          <w:tcPr>
            <w:tcW w:w="1342"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中国国家标准号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kern w:val="0"/>
                <w:sz w:val="16"/>
                <w:szCs w:val="16"/>
              </w:rPr>
              <w:t>Identifier of Chinese standard GB/T</w:t>
            </w:r>
          </w:p>
        </w:tc>
        <w:tc>
          <w:tcPr>
            <w:tcW w:w="3166"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中国国家</w:t>
            </w:r>
            <w:r>
              <w:rPr>
                <w:rFonts w:ascii="方正仿宋简体" w:eastAsia="方正仿宋简体" w:hAnsi="宋体" w:cs="宋体" w:hint="eastAsia"/>
                <w:b/>
                <w:color w:val="000000"/>
                <w:kern w:val="0"/>
                <w:sz w:val="16"/>
                <w:szCs w:val="16"/>
              </w:rPr>
              <w:t>标准名称</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color w:val="000000"/>
                <w:kern w:val="0"/>
                <w:sz w:val="16"/>
                <w:szCs w:val="16"/>
              </w:rPr>
              <w:t>Title of Chinese standard</w:t>
            </w:r>
            <w:r>
              <w:rPr>
                <w:rFonts w:ascii="方正仿宋简体" w:eastAsia="方正仿宋简体" w:hAnsi="宋体" w:cs="宋体"/>
                <w:color w:val="000000"/>
                <w:kern w:val="0"/>
                <w:sz w:val="16"/>
                <w:szCs w:val="16"/>
              </w:rPr>
              <w:t xml:space="preserve"> identical to the International Standard cited in the left-hand column</w:t>
            </w:r>
          </w:p>
        </w:tc>
        <w:tc>
          <w:tcPr>
            <w:tcW w:w="1162"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法国国家标准号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kern w:val="0"/>
                <w:sz w:val="16"/>
                <w:szCs w:val="16"/>
              </w:rPr>
              <w:t xml:space="preserve">Identifier of French Standard NF </w:t>
            </w:r>
          </w:p>
        </w:tc>
        <w:tc>
          <w:tcPr>
            <w:tcW w:w="4031"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法国国家</w:t>
            </w:r>
            <w:r>
              <w:rPr>
                <w:rFonts w:ascii="方正仿宋简体" w:eastAsia="方正仿宋简体" w:hAnsi="宋体" w:cs="宋体" w:hint="eastAsia"/>
                <w:b/>
                <w:color w:val="000000"/>
                <w:kern w:val="0"/>
                <w:sz w:val="16"/>
                <w:szCs w:val="16"/>
              </w:rPr>
              <w:t>标准名称</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color w:val="000000"/>
                <w:kern w:val="0"/>
                <w:sz w:val="16"/>
                <w:szCs w:val="16"/>
              </w:rPr>
              <w:t>Title of French standard</w:t>
            </w:r>
            <w:r>
              <w:rPr>
                <w:rFonts w:ascii="方正仿宋简体" w:eastAsia="方正仿宋简体" w:hAnsi="宋体" w:cs="宋体"/>
                <w:color w:val="000000"/>
                <w:kern w:val="0"/>
                <w:sz w:val="16"/>
                <w:szCs w:val="16"/>
              </w:rPr>
              <w:t xml:space="preserve"> identical to the International Standard cited in the right-hand column</w:t>
            </w:r>
          </w:p>
        </w:tc>
        <w:tc>
          <w:tcPr>
            <w:tcW w:w="2666"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等同采用ISO/IEC标准号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b/>
                <w:bCs/>
                <w:kern w:val="0"/>
                <w:sz w:val="16"/>
                <w:szCs w:val="16"/>
                <w:lang w:val="es-ES"/>
              </w:rPr>
              <w:t>ISO/IEC or EN No.</w:t>
            </w:r>
          </w:p>
        </w:tc>
      </w:tr>
      <w:tr w:rsidR="003B6650">
        <w:trPr>
          <w:trHeight w:val="1140"/>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ISO/TR 20514:2005</w:t>
            </w:r>
          </w:p>
        </w:tc>
        <w:tc>
          <w:tcPr>
            <w:tcW w:w="134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GB/Z 24464-2009</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健康信息学 电子健康记录 定义、范围与语境                    Health informatics - Electronic health record - Definition, scope and context</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FD ISO/TR 20514.2006.9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Health informatics - Electronic health record - Definition, scope and context                               健康信息学 电子健康记录 定义、范围与语境</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ISO/TR 20514:2005</w:t>
            </w:r>
          </w:p>
        </w:tc>
      </w:tr>
      <w:tr w:rsidR="003B6650">
        <w:trPr>
          <w:trHeight w:val="1140"/>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2</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15305:1998</w:t>
            </w:r>
          </w:p>
        </w:tc>
        <w:tc>
          <w:tcPr>
            <w:tcW w:w="134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22460-2008</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动植物油脂 罗维朋色泽的测定 Animal and vegetable fa</w:t>
            </w:r>
            <w:r w:rsidR="00D00420">
              <w:rPr>
                <w:rFonts w:ascii="方正仿宋简体" w:eastAsia="方正仿宋简体" w:hAnsi="宋体" w:cs="宋体" w:hint="eastAsia"/>
                <w:kern w:val="0"/>
                <w:sz w:val="16"/>
                <w:szCs w:val="16"/>
              </w:rPr>
              <w:t>ts and oils - Determination of L</w:t>
            </w:r>
            <w:r>
              <w:rPr>
                <w:rFonts w:ascii="方正仿宋简体" w:eastAsia="方正仿宋简体" w:hAnsi="宋体" w:cs="宋体" w:hint="eastAsia"/>
                <w:kern w:val="0"/>
                <w:sz w:val="16"/>
                <w:szCs w:val="16"/>
              </w:rPr>
              <w:t>ovibond colour</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15305.1998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Animal and vegetable fats and oils. Determination of Lovibond colour. 动植物油脂 罗维朋色泽的测定 </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15305:1998</w:t>
            </w:r>
          </w:p>
        </w:tc>
      </w:tr>
    </w:tbl>
    <w:p w:rsidR="003B6650" w:rsidRDefault="003B6650">
      <w:pPr>
        <w:spacing w:line="500" w:lineRule="exact"/>
        <w:ind w:firstLineChars="200" w:firstLine="640"/>
        <w:rPr>
          <w:rFonts w:ascii="Arial Unicode MS" w:eastAsia="Arial Unicode MS" w:hAnsi="Arial Unicode MS" w:cs="Arial Unicode MS"/>
          <w:color w:val="242424"/>
          <w:sz w:val="32"/>
          <w:szCs w:val="32"/>
        </w:rPr>
      </w:pPr>
    </w:p>
    <w:p w:rsidR="003B6650" w:rsidRDefault="002D01B9">
      <w:pPr>
        <w:spacing w:line="594" w:lineRule="exact"/>
        <w:jc w:val="left"/>
        <w:rPr>
          <w:rFonts w:ascii="方正黑体简体" w:eastAsia="方正黑体简体"/>
          <w:b/>
          <w:sz w:val="32"/>
          <w:szCs w:val="32"/>
        </w:rPr>
      </w:pPr>
      <w:r>
        <w:rPr>
          <w:rFonts w:ascii="方正黑体简体" w:eastAsia="方正黑体简体" w:hint="eastAsia"/>
          <w:b/>
          <w:sz w:val="32"/>
          <w:szCs w:val="32"/>
        </w:rPr>
        <w:t>2.双方研究纳入互认标准的清单</w:t>
      </w:r>
    </w:p>
    <w:p w:rsidR="003B6650" w:rsidRDefault="003B6650">
      <w:pPr>
        <w:spacing w:line="500" w:lineRule="exact"/>
        <w:ind w:firstLineChars="200" w:firstLine="640"/>
        <w:rPr>
          <w:rFonts w:ascii="Arial Unicode MS" w:eastAsia="Arial Unicode MS" w:hAnsi="Arial Unicode MS" w:cs="Arial Unicode MS"/>
          <w:color w:val="242424"/>
          <w:sz w:val="32"/>
          <w:szCs w:val="32"/>
        </w:rPr>
      </w:pPr>
    </w:p>
    <w:tbl>
      <w:tblPr>
        <w:tblW w:w="147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1528"/>
        <w:gridCol w:w="1342"/>
        <w:gridCol w:w="3166"/>
        <w:gridCol w:w="1162"/>
        <w:gridCol w:w="4031"/>
        <w:gridCol w:w="2666"/>
      </w:tblGrid>
      <w:tr w:rsidR="003B6650">
        <w:trPr>
          <w:trHeight w:val="2275"/>
        </w:trPr>
        <w:tc>
          <w:tcPr>
            <w:tcW w:w="865" w:type="dxa"/>
            <w:shd w:val="clear" w:color="000000" w:fill="DBE5F1"/>
            <w:vAlign w:val="center"/>
          </w:tcPr>
          <w:p w:rsidR="003B6650" w:rsidRDefault="002D01B9">
            <w:pPr>
              <w:widowControl/>
              <w:jc w:val="center"/>
              <w:rPr>
                <w:rFonts w:ascii="方正仿宋简体" w:eastAsia="方正仿宋简体" w:hAnsi="宋体" w:cs="宋体"/>
                <w:b/>
                <w:color w:val="000000"/>
                <w:kern w:val="0"/>
                <w:sz w:val="16"/>
                <w:szCs w:val="16"/>
              </w:rPr>
            </w:pPr>
            <w:r>
              <w:rPr>
                <w:rFonts w:ascii="方正仿宋简体" w:eastAsia="方正仿宋简体" w:hAnsi="宋体" w:cs="宋体" w:hint="eastAsia"/>
                <w:b/>
                <w:color w:val="000000"/>
                <w:kern w:val="0"/>
                <w:sz w:val="16"/>
                <w:szCs w:val="16"/>
              </w:rPr>
              <w:t>编号</w:t>
            </w:r>
          </w:p>
          <w:p w:rsidR="003B6650" w:rsidRDefault="002D01B9">
            <w:pPr>
              <w:jc w:val="center"/>
              <w:rPr>
                <w:rFonts w:ascii="方正仿宋简体" w:eastAsia="方正仿宋简体" w:hAnsi="宋体" w:cs="宋体"/>
                <w:b/>
                <w:color w:val="000000"/>
                <w:kern w:val="0"/>
                <w:sz w:val="16"/>
                <w:szCs w:val="16"/>
              </w:rPr>
            </w:pPr>
            <w:r>
              <w:rPr>
                <w:rFonts w:ascii="方正仿宋简体" w:eastAsia="方正仿宋简体" w:hAnsi="宋体" w:cs="宋体" w:hint="eastAsia"/>
                <w:color w:val="000000"/>
                <w:kern w:val="0"/>
                <w:sz w:val="16"/>
                <w:szCs w:val="16"/>
              </w:rPr>
              <w:t>No.</w:t>
            </w:r>
          </w:p>
        </w:tc>
        <w:tc>
          <w:tcPr>
            <w:tcW w:w="1528"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等同采用ISO/IEC标准号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b/>
                <w:bCs/>
                <w:kern w:val="0"/>
                <w:sz w:val="16"/>
                <w:szCs w:val="16"/>
                <w:lang w:val="es-ES"/>
              </w:rPr>
              <w:t>ISO/IEC or EN No.</w:t>
            </w:r>
          </w:p>
        </w:tc>
        <w:tc>
          <w:tcPr>
            <w:tcW w:w="1342"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中国国家标准号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kern w:val="0"/>
                <w:sz w:val="16"/>
                <w:szCs w:val="16"/>
              </w:rPr>
              <w:t>Identifier of Chinese standard GB/T</w:t>
            </w:r>
          </w:p>
        </w:tc>
        <w:tc>
          <w:tcPr>
            <w:tcW w:w="3166"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中国国家</w:t>
            </w:r>
            <w:r>
              <w:rPr>
                <w:rFonts w:ascii="方正仿宋简体" w:eastAsia="方正仿宋简体" w:hAnsi="宋体" w:cs="宋体" w:hint="eastAsia"/>
                <w:b/>
                <w:color w:val="000000"/>
                <w:kern w:val="0"/>
                <w:sz w:val="16"/>
                <w:szCs w:val="16"/>
              </w:rPr>
              <w:t>标准名称</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color w:val="000000"/>
                <w:kern w:val="0"/>
                <w:sz w:val="16"/>
                <w:szCs w:val="16"/>
              </w:rPr>
              <w:t>Title of Chinese standard</w:t>
            </w:r>
            <w:r>
              <w:rPr>
                <w:rFonts w:ascii="方正仿宋简体" w:eastAsia="方正仿宋简体" w:hAnsi="宋体" w:cs="宋体"/>
                <w:color w:val="000000"/>
                <w:kern w:val="0"/>
                <w:sz w:val="16"/>
                <w:szCs w:val="16"/>
              </w:rPr>
              <w:t xml:space="preserve"> identical to the International Standard cited in the left-hand column</w:t>
            </w:r>
          </w:p>
        </w:tc>
        <w:tc>
          <w:tcPr>
            <w:tcW w:w="1162"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法国国家标准号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kern w:val="0"/>
                <w:sz w:val="16"/>
                <w:szCs w:val="16"/>
              </w:rPr>
              <w:t xml:space="preserve">Identifier of French Standard NF </w:t>
            </w:r>
          </w:p>
        </w:tc>
        <w:tc>
          <w:tcPr>
            <w:tcW w:w="4031"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法国国家</w:t>
            </w:r>
            <w:r>
              <w:rPr>
                <w:rFonts w:ascii="方正仿宋简体" w:eastAsia="方正仿宋简体" w:hAnsi="宋体" w:cs="宋体" w:hint="eastAsia"/>
                <w:b/>
                <w:color w:val="000000"/>
                <w:kern w:val="0"/>
                <w:sz w:val="16"/>
                <w:szCs w:val="16"/>
              </w:rPr>
              <w:t>标准名称</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color w:val="000000"/>
                <w:kern w:val="0"/>
                <w:sz w:val="16"/>
                <w:szCs w:val="16"/>
              </w:rPr>
              <w:t>Title of French standard</w:t>
            </w:r>
            <w:r>
              <w:rPr>
                <w:rFonts w:ascii="方正仿宋简体" w:eastAsia="方正仿宋简体" w:hAnsi="宋体" w:cs="宋体"/>
                <w:color w:val="000000"/>
                <w:kern w:val="0"/>
                <w:sz w:val="16"/>
                <w:szCs w:val="16"/>
              </w:rPr>
              <w:t xml:space="preserve"> identical to the International Standard cited in the right-hand column</w:t>
            </w:r>
          </w:p>
        </w:tc>
        <w:tc>
          <w:tcPr>
            <w:tcW w:w="2666" w:type="dxa"/>
            <w:shd w:val="clear" w:color="000000" w:fill="DBE5F1"/>
            <w:vAlign w:val="center"/>
          </w:tcPr>
          <w:p w:rsidR="003B6650" w:rsidRDefault="002D01B9">
            <w:pPr>
              <w:widowControl/>
              <w:jc w:val="center"/>
              <w:rPr>
                <w:rFonts w:ascii="方正仿宋简体" w:eastAsia="方正仿宋简体" w:hAnsi="宋体" w:cs="宋体"/>
                <w:b/>
                <w:kern w:val="0"/>
                <w:sz w:val="16"/>
                <w:szCs w:val="16"/>
              </w:rPr>
            </w:pPr>
            <w:r>
              <w:rPr>
                <w:rFonts w:ascii="方正仿宋简体" w:eastAsia="方正仿宋简体" w:hAnsi="宋体" w:cs="宋体" w:hint="eastAsia"/>
                <w:b/>
                <w:kern w:val="0"/>
                <w:sz w:val="16"/>
                <w:szCs w:val="16"/>
              </w:rPr>
              <w:t>等同采用ISO/IEC标准号</w:t>
            </w:r>
          </w:p>
          <w:p w:rsidR="003B6650" w:rsidRDefault="002D01B9">
            <w:pPr>
              <w:jc w:val="center"/>
              <w:rPr>
                <w:rFonts w:ascii="方正仿宋简体" w:eastAsia="方正仿宋简体" w:hAnsi="宋体" w:cs="宋体"/>
                <w:b/>
                <w:kern w:val="0"/>
                <w:sz w:val="16"/>
                <w:szCs w:val="16"/>
              </w:rPr>
            </w:pPr>
            <w:r>
              <w:rPr>
                <w:rFonts w:ascii="方正仿宋简体" w:eastAsia="方正仿宋简体" w:hAnsi="宋体" w:cs="宋体" w:hint="eastAsia"/>
                <w:b/>
                <w:bCs/>
                <w:kern w:val="0"/>
                <w:sz w:val="16"/>
                <w:szCs w:val="16"/>
                <w:lang w:val="es-ES"/>
              </w:rPr>
              <w:t>ISO/IEC or EN No.</w:t>
            </w:r>
          </w:p>
        </w:tc>
      </w:tr>
      <w:tr w:rsidR="003B6650">
        <w:trPr>
          <w:trHeight w:val="1410"/>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3</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11035:1994</w:t>
            </w:r>
          </w:p>
        </w:tc>
        <w:tc>
          <w:tcPr>
            <w:tcW w:w="134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16861-1997</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通过多元分析方法鉴定和选择用于建立感官剖面的描述词          Sensory analysis--Identification and selection of descriptors for establishing a sensory profile by a multidimensional approach</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11035.1995.7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Identification and selection of descriptors for establishing a sensory profile by a multidimensional approach.                                   感官分析  通过多元分析方法鉴定和选择用于建立感官剖面的描述词 </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11035:1994</w:t>
            </w:r>
          </w:p>
        </w:tc>
      </w:tr>
      <w:tr w:rsidR="003B6650">
        <w:trPr>
          <w:trHeight w:val="675"/>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4</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11036:1994</w:t>
            </w:r>
          </w:p>
        </w:tc>
        <w:tc>
          <w:tcPr>
            <w:tcW w:w="134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16860-1997</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感官分析方法  质地剖面检验           Sensory analysis methodology--Texture profile</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11036.1995.2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Methodology. Texture profile.                                                    感官分析方法  质地剖面检验 </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11036:1994</w:t>
            </w:r>
          </w:p>
        </w:tc>
      </w:tr>
      <w:tr w:rsidR="003B6650">
        <w:trPr>
          <w:trHeight w:val="675"/>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5</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11056:1999</w:t>
            </w:r>
          </w:p>
        </w:tc>
        <w:tc>
          <w:tcPr>
            <w:tcW w:w="134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19547-2004</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量值估计法    Sensory analysis—Methodology—Magnitude estimation method</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11056.2000.3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Sensory analysis - Methodology - Magnitude estimation method.  感官分析 方法学 量值估计法</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11056:1999</w:t>
            </w:r>
          </w:p>
        </w:tc>
      </w:tr>
      <w:tr w:rsidR="003B6650">
        <w:trPr>
          <w:trHeight w:val="1125"/>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6</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13300-1:2006</w:t>
            </w:r>
          </w:p>
        </w:tc>
        <w:tc>
          <w:tcPr>
            <w:tcW w:w="134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23470.1-2009</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感官分析实验室人员一般导则 第1部分：实验室人员职责      Sensory analysis - General guidance for the staff of a sensory evaluation laboratory - Part 1: Staff responsibilities</w:t>
            </w:r>
          </w:p>
        </w:tc>
        <w:tc>
          <w:tcPr>
            <w:tcW w:w="116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NF ISO 13300-1.2006.11</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General guidance for the staff of a sensory evaluation laboratory - Part 1 : staff responsibilities 感官分析 感官分析实验室人员一般导则 第1部分：实验室人员职责 </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13300-1:2006</w:t>
            </w:r>
          </w:p>
        </w:tc>
      </w:tr>
      <w:tr w:rsidR="003B6650">
        <w:trPr>
          <w:trHeight w:val="1860"/>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lastRenderedPageBreak/>
              <w:t>7</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13300-2:2006</w:t>
            </w:r>
          </w:p>
        </w:tc>
        <w:tc>
          <w:tcPr>
            <w:tcW w:w="134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23470.2-2009</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感官分析实验室人员一般导则 第2部分：评价小组组长的聘用和培训  Sensory analysis - General guidance for the staff of a sensory evaluation laboratory - Part 2: Recruitment and training of panel leaders</w:t>
            </w:r>
          </w:p>
        </w:tc>
        <w:tc>
          <w:tcPr>
            <w:tcW w:w="116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NF ISO 13300-2.2006.11</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General guidance for the staff of a sensory evaluation laboratory - Part 2 : recruitment and training of panel leaders. 感官分析 感官分析实验室人员一般导则 第2部分：评价小组组长的聘用和培训 </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13300-2:2006</w:t>
            </w:r>
          </w:p>
        </w:tc>
      </w:tr>
      <w:tr w:rsidR="003B6650">
        <w:trPr>
          <w:trHeight w:val="1695"/>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8</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13301:2002</w:t>
            </w:r>
          </w:p>
        </w:tc>
        <w:tc>
          <w:tcPr>
            <w:tcW w:w="134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22366-2008</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采用三点选配法（3-AFC）测定嗅觉、味觉和风味觉察阈值的一般导则  Sensory analysis—Methodology—General guidance for measuring odour, flavour and taste detection thresholds by a three-alternative forced-choice (3-AFC) procedure</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13301.2002.12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Methodology - General guidance for measuring odour, flavour and taste detection thresholds by a three-alternative forced-choice (3-AFC) procedure. 感官分析 方法学 采用三点选配法（3-AFC）测定嗅觉、味觉和风味觉察阈值的一般导则  </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13301:2002</w:t>
            </w:r>
          </w:p>
        </w:tc>
      </w:tr>
      <w:tr w:rsidR="003B6650">
        <w:trPr>
          <w:trHeight w:val="570"/>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9</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6658:2005</w:t>
            </w:r>
          </w:p>
        </w:tc>
        <w:tc>
          <w:tcPr>
            <w:tcW w:w="134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10220-2012</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总论 Sensory analysis - Methodology - General guidance</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6658.2006.1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Sensory analysis - Methodology - General guidance  感官分析 方法学 总论 </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6658:2005</w:t>
            </w:r>
          </w:p>
        </w:tc>
      </w:tr>
      <w:tr w:rsidR="003B6650">
        <w:trPr>
          <w:trHeight w:val="570"/>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10</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8587:2006</w:t>
            </w:r>
          </w:p>
        </w:tc>
        <w:tc>
          <w:tcPr>
            <w:tcW w:w="134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12315-2008</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方法学 排序法 Sensory analysis - Methodology - Ranking</w:t>
            </w:r>
          </w:p>
        </w:tc>
        <w:tc>
          <w:tcPr>
            <w:tcW w:w="1162"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ISO 8587.2007.2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Sensory analysis - Methodology - Ranking</w:t>
            </w:r>
            <w:r>
              <w:rPr>
                <w:rFonts w:ascii="方正仿宋简体" w:eastAsia="方正仿宋简体" w:hAnsi="宋体" w:cs="宋体" w:hint="eastAsia"/>
                <w:kern w:val="0"/>
                <w:sz w:val="16"/>
                <w:szCs w:val="16"/>
              </w:rPr>
              <w:t> </w:t>
            </w:r>
            <w:r>
              <w:rPr>
                <w:rFonts w:ascii="方正仿宋简体" w:eastAsia="方正仿宋简体" w:hAnsi="宋体" w:cs="宋体" w:hint="eastAsia"/>
                <w:kern w:val="0"/>
                <w:sz w:val="16"/>
                <w:szCs w:val="16"/>
              </w:rPr>
              <w:t>感官分析 方法学 排序法</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8587:2006</w:t>
            </w:r>
          </w:p>
        </w:tc>
      </w:tr>
      <w:tr w:rsidR="003B6650">
        <w:trPr>
          <w:trHeight w:val="720"/>
        </w:trPr>
        <w:tc>
          <w:tcPr>
            <w:tcW w:w="865" w:type="dxa"/>
            <w:shd w:val="clear" w:color="auto" w:fill="auto"/>
            <w:vAlign w:val="center"/>
          </w:tcPr>
          <w:p w:rsidR="003B6650" w:rsidRDefault="002D01B9">
            <w:pPr>
              <w:widowControl/>
              <w:jc w:val="center"/>
              <w:rPr>
                <w:rFonts w:ascii="方正仿宋简体" w:eastAsia="方正仿宋简体" w:hAnsi="宋体" w:cs="宋体"/>
                <w:color w:val="000000"/>
                <w:kern w:val="0"/>
                <w:sz w:val="16"/>
                <w:szCs w:val="16"/>
              </w:rPr>
            </w:pPr>
            <w:r>
              <w:rPr>
                <w:rFonts w:ascii="方正仿宋简体" w:eastAsia="方正仿宋简体" w:hAnsi="宋体" w:cs="宋体" w:hint="eastAsia"/>
                <w:color w:val="000000"/>
                <w:kern w:val="0"/>
                <w:sz w:val="16"/>
                <w:szCs w:val="16"/>
              </w:rPr>
              <w:t>11</w:t>
            </w:r>
          </w:p>
        </w:tc>
        <w:tc>
          <w:tcPr>
            <w:tcW w:w="1528"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8589:2007</w:t>
            </w:r>
          </w:p>
        </w:tc>
        <w:tc>
          <w:tcPr>
            <w:tcW w:w="134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GB/T 13868-2009</w:t>
            </w:r>
          </w:p>
        </w:tc>
        <w:tc>
          <w:tcPr>
            <w:tcW w:w="3166"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感官分析 建立感官分析实验室的一般导则  Sensory analysis - General guidance for the design of test rooms</w:t>
            </w:r>
          </w:p>
        </w:tc>
        <w:tc>
          <w:tcPr>
            <w:tcW w:w="1162" w:type="dxa"/>
            <w:shd w:val="clear" w:color="auto" w:fill="auto"/>
            <w:vAlign w:val="center"/>
          </w:tcPr>
          <w:p w:rsidR="003B6650" w:rsidRDefault="002D01B9">
            <w:pPr>
              <w:widowControl/>
              <w:jc w:val="left"/>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 xml:space="preserve">NF EN ISO 8589.2010.5 </w:t>
            </w:r>
          </w:p>
        </w:tc>
        <w:tc>
          <w:tcPr>
            <w:tcW w:w="4031" w:type="dxa"/>
            <w:shd w:val="clear" w:color="auto" w:fill="auto"/>
            <w:vAlign w:val="center"/>
          </w:tcPr>
          <w:p w:rsidR="003B6650" w:rsidRDefault="002D01B9">
            <w:pPr>
              <w:widowControl/>
              <w:jc w:val="center"/>
              <w:rPr>
                <w:rFonts w:ascii="方正仿宋简体" w:eastAsia="方正仿宋简体" w:hAnsi="宋体" w:cs="宋体"/>
                <w:kern w:val="0"/>
                <w:sz w:val="16"/>
                <w:szCs w:val="16"/>
              </w:rPr>
            </w:pPr>
            <w:r>
              <w:rPr>
                <w:rFonts w:ascii="方正仿宋简体" w:eastAsia="方正仿宋简体" w:hAnsi="宋体" w:cs="宋体" w:hint="eastAsia"/>
                <w:kern w:val="0"/>
                <w:sz w:val="16"/>
                <w:szCs w:val="16"/>
              </w:rPr>
              <w:t>Sensory analysis - General guidance for the design of test rooms 感官分析 建立感官分析实验室的一般导则</w:t>
            </w:r>
          </w:p>
        </w:tc>
        <w:tc>
          <w:tcPr>
            <w:tcW w:w="2666" w:type="dxa"/>
            <w:shd w:val="clear" w:color="auto" w:fill="auto"/>
            <w:vAlign w:val="center"/>
          </w:tcPr>
          <w:p w:rsidR="003B6650" w:rsidRDefault="002D01B9">
            <w:pPr>
              <w:widowControl/>
              <w:jc w:val="center"/>
              <w:rPr>
                <w:rFonts w:ascii="方正仿宋简体" w:eastAsia="方正仿宋简体" w:hAnsi="宋体" w:cs="宋体"/>
                <w:b/>
                <w:bCs/>
                <w:kern w:val="0"/>
                <w:sz w:val="16"/>
                <w:szCs w:val="16"/>
              </w:rPr>
            </w:pPr>
            <w:r>
              <w:rPr>
                <w:rFonts w:ascii="方正仿宋简体" w:eastAsia="方正仿宋简体" w:hAnsi="宋体" w:cs="宋体" w:hint="eastAsia"/>
                <w:b/>
                <w:bCs/>
                <w:kern w:val="0"/>
                <w:sz w:val="16"/>
                <w:szCs w:val="16"/>
              </w:rPr>
              <w:t>ISO 8589:2007</w:t>
            </w:r>
          </w:p>
        </w:tc>
      </w:tr>
    </w:tbl>
    <w:p w:rsidR="003B6650" w:rsidRDefault="003B6650">
      <w:pPr>
        <w:spacing w:line="500" w:lineRule="exact"/>
        <w:ind w:firstLineChars="200" w:firstLine="640"/>
        <w:rPr>
          <w:rFonts w:ascii="Arial Unicode MS" w:eastAsia="Arial Unicode MS" w:hAnsi="Arial Unicode MS" w:cs="Arial Unicode MS"/>
          <w:color w:val="242424"/>
          <w:sz w:val="32"/>
          <w:szCs w:val="32"/>
        </w:rPr>
      </w:pPr>
    </w:p>
    <w:sectPr w:rsidR="003B6650" w:rsidSect="00E90A10">
      <w:footerReference w:type="default" r:id="rId9"/>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57D" w:rsidRDefault="00DC657D">
      <w:r>
        <w:separator/>
      </w:r>
    </w:p>
  </w:endnote>
  <w:endnote w:type="continuationSeparator" w:id="0">
    <w:p w:rsidR="00DC657D" w:rsidRDefault="00DC657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50" w:rsidRDefault="00E90A10">
    <w:pPr>
      <w:pStyle w:val="a6"/>
      <w:numPr>
        <w:ilvl w:val="0"/>
        <w:numId w:val="1"/>
      </w:numPr>
      <w:jc w:val="center"/>
    </w:pPr>
    <w:r>
      <w:rPr>
        <w:rFonts w:ascii="宋体" w:hAnsi="宋体"/>
        <w:sz w:val="28"/>
        <w:szCs w:val="28"/>
      </w:rPr>
      <w:fldChar w:fldCharType="begin"/>
    </w:r>
    <w:r w:rsidR="002D01B9">
      <w:rPr>
        <w:rFonts w:ascii="宋体" w:hAnsi="宋体"/>
        <w:sz w:val="28"/>
        <w:szCs w:val="28"/>
      </w:rPr>
      <w:instrText>PAGE   \* MERGEFORMAT</w:instrText>
    </w:r>
    <w:r>
      <w:rPr>
        <w:rFonts w:ascii="宋体" w:hAnsi="宋体"/>
        <w:sz w:val="28"/>
        <w:szCs w:val="28"/>
      </w:rPr>
      <w:fldChar w:fldCharType="separate"/>
    </w:r>
    <w:r w:rsidR="00D00420" w:rsidRPr="00D00420">
      <w:rPr>
        <w:rFonts w:ascii="宋体" w:hAnsi="宋体"/>
        <w:noProof/>
        <w:sz w:val="28"/>
        <w:szCs w:val="28"/>
        <w:lang w:val="zh-CN"/>
      </w:rPr>
      <w:t>1</w:t>
    </w:r>
    <w:r>
      <w:rPr>
        <w:rFonts w:ascii="宋体" w:hAnsi="宋体"/>
        <w:sz w:val="28"/>
        <w:szCs w:val="28"/>
      </w:rPr>
      <w:fldChar w:fldCharType="end"/>
    </w:r>
    <w:r w:rsidR="002D01B9">
      <w:rPr>
        <w:rFonts w:ascii="宋体" w:hAnsi="宋体" w:hint="eastAsia"/>
        <w:sz w:val="28"/>
        <w:szCs w:val="28"/>
      </w:rPr>
      <w:t>—</w:t>
    </w:r>
  </w:p>
  <w:p w:rsidR="003B6650" w:rsidRDefault="003B66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57D" w:rsidRDefault="00DC657D">
      <w:r>
        <w:separator/>
      </w:r>
    </w:p>
  </w:footnote>
  <w:footnote w:type="continuationSeparator" w:id="0">
    <w:p w:rsidR="00DC657D" w:rsidRDefault="00DC6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07C9B"/>
    <w:multiLevelType w:val="multilevel"/>
    <w:tmpl w:val="64607C9B"/>
    <w:lvl w:ilvl="0">
      <w:numFmt w:val="bullet"/>
      <w:lvlText w:val="—"/>
      <w:lvlJc w:val="left"/>
      <w:pPr>
        <w:ind w:left="360" w:hanging="360"/>
      </w:pPr>
      <w:rPr>
        <w:rFonts w:ascii="宋体" w:eastAsia="宋体" w:hAnsi="宋体" w:cs="Times New Roman" w:hint="eastAsia"/>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6650"/>
    <w:rsid w:val="000B740F"/>
    <w:rsid w:val="002D01B9"/>
    <w:rsid w:val="003B6650"/>
    <w:rsid w:val="007B5F44"/>
    <w:rsid w:val="00A544BE"/>
    <w:rsid w:val="00D00420"/>
    <w:rsid w:val="00DC657D"/>
    <w:rsid w:val="00E90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1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90A10"/>
    <w:rPr>
      <w:b/>
      <w:bCs/>
    </w:rPr>
  </w:style>
  <w:style w:type="paragraph" w:styleId="a4">
    <w:name w:val="annotation text"/>
    <w:basedOn w:val="a"/>
    <w:link w:val="Char0"/>
    <w:uiPriority w:val="99"/>
    <w:unhideWhenUsed/>
    <w:qFormat/>
    <w:rsid w:val="00E90A10"/>
    <w:pPr>
      <w:jc w:val="left"/>
    </w:pPr>
  </w:style>
  <w:style w:type="paragraph" w:styleId="a5">
    <w:name w:val="Balloon Text"/>
    <w:basedOn w:val="a"/>
    <w:link w:val="Char1"/>
    <w:uiPriority w:val="99"/>
    <w:unhideWhenUsed/>
    <w:qFormat/>
    <w:rsid w:val="00E90A10"/>
    <w:rPr>
      <w:rFonts w:ascii="Tahoma" w:hAnsi="Tahoma" w:cs="Tahoma"/>
      <w:sz w:val="16"/>
      <w:szCs w:val="16"/>
    </w:rPr>
  </w:style>
  <w:style w:type="paragraph" w:styleId="a6">
    <w:name w:val="footer"/>
    <w:basedOn w:val="a"/>
    <w:link w:val="Char2"/>
    <w:uiPriority w:val="99"/>
    <w:unhideWhenUsed/>
    <w:rsid w:val="00E90A10"/>
    <w:pPr>
      <w:tabs>
        <w:tab w:val="center" w:pos="4153"/>
        <w:tab w:val="right" w:pos="8306"/>
      </w:tabs>
      <w:snapToGrid w:val="0"/>
      <w:jc w:val="left"/>
    </w:pPr>
    <w:rPr>
      <w:sz w:val="18"/>
      <w:szCs w:val="18"/>
    </w:rPr>
  </w:style>
  <w:style w:type="paragraph" w:styleId="a7">
    <w:name w:val="header"/>
    <w:basedOn w:val="a"/>
    <w:link w:val="Char3"/>
    <w:uiPriority w:val="99"/>
    <w:unhideWhenUsed/>
    <w:rsid w:val="00E90A1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E90A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styleId="a8">
    <w:name w:val="annotation reference"/>
    <w:basedOn w:val="a0"/>
    <w:uiPriority w:val="99"/>
    <w:unhideWhenUsed/>
    <w:rsid w:val="00E90A10"/>
    <w:rPr>
      <w:sz w:val="21"/>
      <w:szCs w:val="21"/>
    </w:rPr>
  </w:style>
  <w:style w:type="character" w:customStyle="1" w:styleId="Char2">
    <w:name w:val="页脚 Char"/>
    <w:basedOn w:val="a0"/>
    <w:link w:val="a6"/>
    <w:uiPriority w:val="99"/>
    <w:rsid w:val="00E90A10"/>
    <w:rPr>
      <w:rFonts w:ascii="Calibri" w:eastAsia="宋体" w:hAnsi="Calibri" w:cs="Times New Roman"/>
      <w:sz w:val="18"/>
      <w:szCs w:val="18"/>
    </w:rPr>
  </w:style>
  <w:style w:type="paragraph" w:customStyle="1" w:styleId="1">
    <w:name w:val="列出段落1"/>
    <w:basedOn w:val="a"/>
    <w:uiPriority w:val="34"/>
    <w:qFormat/>
    <w:rsid w:val="00E90A10"/>
    <w:pPr>
      <w:ind w:firstLineChars="200" w:firstLine="420"/>
    </w:pPr>
  </w:style>
  <w:style w:type="character" w:customStyle="1" w:styleId="Char3">
    <w:name w:val="页眉 Char"/>
    <w:basedOn w:val="a0"/>
    <w:link w:val="a7"/>
    <w:uiPriority w:val="99"/>
    <w:semiHidden/>
    <w:qFormat/>
    <w:rsid w:val="00E90A10"/>
    <w:rPr>
      <w:rFonts w:ascii="Calibri" w:eastAsia="宋体" w:hAnsi="Calibri" w:cs="Times New Roman"/>
      <w:sz w:val="18"/>
      <w:szCs w:val="18"/>
    </w:rPr>
  </w:style>
  <w:style w:type="character" w:customStyle="1" w:styleId="Char1">
    <w:name w:val="批注框文本 Char"/>
    <w:basedOn w:val="a0"/>
    <w:link w:val="a5"/>
    <w:uiPriority w:val="99"/>
    <w:semiHidden/>
    <w:rsid w:val="00E90A10"/>
    <w:rPr>
      <w:rFonts w:ascii="Tahoma" w:eastAsia="宋体" w:hAnsi="Tahoma" w:cs="Tahoma"/>
      <w:sz w:val="16"/>
      <w:szCs w:val="16"/>
    </w:rPr>
  </w:style>
  <w:style w:type="character" w:customStyle="1" w:styleId="Char0">
    <w:name w:val="批注文字 Char"/>
    <w:basedOn w:val="a0"/>
    <w:link w:val="a4"/>
    <w:uiPriority w:val="99"/>
    <w:semiHidden/>
    <w:qFormat/>
    <w:rsid w:val="00E90A10"/>
    <w:rPr>
      <w:rFonts w:ascii="Calibri" w:eastAsia="宋体" w:hAnsi="Calibri" w:cs="Times New Roman"/>
    </w:rPr>
  </w:style>
  <w:style w:type="character" w:customStyle="1" w:styleId="Char">
    <w:name w:val="批注主题 Char"/>
    <w:basedOn w:val="Char0"/>
    <w:link w:val="a3"/>
    <w:uiPriority w:val="99"/>
    <w:semiHidden/>
    <w:qFormat/>
    <w:rsid w:val="00E90A10"/>
    <w:rPr>
      <w:rFonts w:ascii="Calibri" w:eastAsia="宋体" w:hAnsi="Calibri" w:cs="Times New Roman"/>
      <w:b/>
      <w:bCs/>
    </w:rPr>
  </w:style>
  <w:style w:type="character" w:customStyle="1" w:styleId="HTMLChar">
    <w:name w:val="HTML 预设格式 Char"/>
    <w:basedOn w:val="a0"/>
    <w:link w:val="HTML"/>
    <w:uiPriority w:val="99"/>
    <w:rsid w:val="00E90A10"/>
    <w:rPr>
      <w:rFonts w:ascii="Courier New" w:eastAsia="Times New Roman" w:hAnsi="Courier New" w:cs="Courier New"/>
      <w:kern w:val="0"/>
      <w:sz w:val="20"/>
      <w:szCs w:val="20"/>
      <w:lang w:val="fr-FR" w:eastAsia="fr-FR"/>
    </w:rPr>
  </w:style>
  <w:style w:type="character" w:styleId="a9">
    <w:name w:val="Emphasis"/>
    <w:basedOn w:val="a0"/>
    <w:uiPriority w:val="20"/>
    <w:qFormat/>
    <w:rsid w:val="00E90A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styleId="a8">
    <w:name w:val="annotation reference"/>
    <w:basedOn w:val="a0"/>
    <w:uiPriority w:val="99"/>
    <w:unhideWhenUsed/>
    <w:rPr>
      <w:sz w:val="21"/>
      <w:szCs w:val="21"/>
    </w:rPr>
  </w:style>
  <w:style w:type="character" w:customStyle="1" w:styleId="Char2">
    <w:name w:val="页脚 Char"/>
    <w:basedOn w:val="a0"/>
    <w:link w:val="a6"/>
    <w:uiPriority w:val="99"/>
    <w:rPr>
      <w:rFonts w:ascii="Calibri" w:eastAsia="宋体" w:hAnsi="Calibri" w:cs="Times New Roman"/>
      <w:sz w:val="18"/>
      <w:szCs w:val="18"/>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semiHidden/>
    <w:qFormat/>
    <w:rPr>
      <w:rFonts w:ascii="Calibri" w:eastAsia="宋体" w:hAnsi="Calibri" w:cs="Times New Roman"/>
      <w:sz w:val="18"/>
      <w:szCs w:val="18"/>
    </w:rPr>
  </w:style>
  <w:style w:type="character" w:customStyle="1" w:styleId="Char1">
    <w:name w:val="批注框文本 Char"/>
    <w:basedOn w:val="a0"/>
    <w:link w:val="a5"/>
    <w:uiPriority w:val="99"/>
    <w:semiHidden/>
    <w:rPr>
      <w:rFonts w:ascii="Tahoma" w:eastAsia="宋体" w:hAnsi="Tahoma" w:cs="Tahoma"/>
      <w:sz w:val="16"/>
      <w:szCs w:val="16"/>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HTMLChar">
    <w:name w:val="HTML 预设格式 Char"/>
    <w:basedOn w:val="a0"/>
    <w:link w:val="HTML"/>
    <w:uiPriority w:val="99"/>
    <w:rPr>
      <w:rFonts w:ascii="Courier New" w:eastAsia="Times New Roman" w:hAnsi="Courier New" w:cs="Courier New"/>
      <w:kern w:val="0"/>
      <w:sz w:val="20"/>
      <w:szCs w:val="20"/>
      <w:lang w:val="fr-FR" w:eastAsia="fr-FR"/>
    </w:rPr>
  </w:style>
  <w:style w:type="character" w:styleId="a9">
    <w:name w:val="Emphasis"/>
    <w:basedOn w:val="a0"/>
    <w:uiPriority w:val="20"/>
    <w:qFormat/>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83374-B731-4B95-ADB7-92549E2F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1975</Words>
  <Characters>2233</Characters>
  <Application>Microsoft Office Word</Application>
  <DocSecurity>0</DocSecurity>
  <Lines>446</Lines>
  <Paragraphs>601</Paragraphs>
  <ScaleCrop>false</ScaleCrop>
  <Company>British Standards Institution</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段保同</dc:creator>
  <cp:lastModifiedBy>dell</cp:lastModifiedBy>
  <cp:revision>10</cp:revision>
  <cp:lastPrinted>2015-11-08T04:08:00Z</cp:lastPrinted>
  <dcterms:created xsi:type="dcterms:W3CDTF">2017-05-23T10:42:00Z</dcterms:created>
  <dcterms:modified xsi:type="dcterms:W3CDTF">2017-06-14T11:08:00Z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